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2DC" w:rsidRPr="00F83CB4" w:rsidRDefault="006147B8" w:rsidP="00FE7C20">
      <w:pPr>
        <w:pStyle w:val="TPACbox"/>
        <w:spacing w:before="0"/>
        <w:ind w:left="0"/>
        <w:rPr>
          <w:rFonts w:ascii="Arial Narrow" w:hAnsi="Arial Narrow"/>
          <w:b/>
          <w:color w:val="991D20"/>
          <w:sz w:val="20"/>
        </w:rPr>
      </w:pPr>
      <w:r w:rsidRPr="00F83CB4">
        <w:rPr>
          <w:rFonts w:ascii="Arial Narrow" w:hAnsi="Arial Narrow"/>
          <w:b/>
          <w:color w:val="991D20"/>
          <w:sz w:val="20"/>
        </w:rPr>
        <w:t>Learning Segment Overview</w:t>
      </w:r>
      <w:r w:rsidR="00877C0C" w:rsidRPr="00F83CB4">
        <w:rPr>
          <w:rFonts w:ascii="Arial Narrow" w:hAnsi="Arial Narrow"/>
          <w:b/>
          <w:color w:val="991D20"/>
          <w:sz w:val="20"/>
        </w:rPr>
        <w:t xml:space="preserve"> Directions</w:t>
      </w:r>
      <w:r w:rsidR="00864F84" w:rsidRPr="00F83CB4">
        <w:rPr>
          <w:rFonts w:ascii="Arial Narrow" w:hAnsi="Arial Narrow"/>
          <w:b/>
          <w:color w:val="991D20"/>
          <w:sz w:val="20"/>
        </w:rPr>
        <w:t>:</w:t>
      </w:r>
      <w:r w:rsidR="00864F84" w:rsidRPr="00F83CB4">
        <w:rPr>
          <w:rFonts w:ascii="Arial Narrow" w:hAnsi="Arial Narrow"/>
          <w:sz w:val="20"/>
        </w:rPr>
        <w:t xml:space="preserve"> </w:t>
      </w:r>
      <w:r w:rsidR="003865FA" w:rsidRPr="00F83CB4">
        <w:rPr>
          <w:rFonts w:ascii="Arial Narrow" w:hAnsi="Arial Narrow"/>
          <w:sz w:val="20"/>
        </w:rPr>
        <w:t>Briefly describe the instruction preceding th</w:t>
      </w:r>
      <w:bookmarkStart w:id="0" w:name="_GoBack"/>
      <w:bookmarkEnd w:id="0"/>
      <w:r w:rsidR="003865FA" w:rsidRPr="00F83CB4">
        <w:rPr>
          <w:rFonts w:ascii="Arial Narrow" w:hAnsi="Arial Narrow"/>
          <w:sz w:val="20"/>
        </w:rPr>
        <w:t xml:space="preserve">e assessment by </w:t>
      </w:r>
      <w:r w:rsidR="00946169" w:rsidRPr="00F83CB4">
        <w:rPr>
          <w:rFonts w:ascii="Arial Narrow" w:hAnsi="Arial Narrow"/>
          <w:sz w:val="20"/>
        </w:rPr>
        <w:t>typing within the brackets in each section of</w:t>
      </w:r>
      <w:r w:rsidR="003865FA" w:rsidRPr="00F83CB4">
        <w:rPr>
          <w:rFonts w:ascii="Arial Narrow" w:hAnsi="Arial Narrow"/>
          <w:sz w:val="20"/>
        </w:rPr>
        <w:t xml:space="preserve"> the chart</w:t>
      </w:r>
      <w:r w:rsidR="008E3D6C" w:rsidRPr="00F83CB4">
        <w:rPr>
          <w:rFonts w:ascii="Arial Narrow" w:hAnsi="Arial Narrow"/>
          <w:sz w:val="20"/>
        </w:rPr>
        <w:t xml:space="preserve"> below (</w:t>
      </w:r>
      <w:r w:rsidR="008E3D6C" w:rsidRPr="00F83CB4">
        <w:rPr>
          <w:rFonts w:ascii="Arial Narrow" w:hAnsi="Arial Narrow"/>
          <w:b/>
          <w:sz w:val="20"/>
        </w:rPr>
        <w:t xml:space="preserve">no more than </w:t>
      </w:r>
      <w:proofErr w:type="gramStart"/>
      <w:r w:rsidR="003865FA" w:rsidRPr="00F83CB4">
        <w:rPr>
          <w:rFonts w:ascii="Arial Narrow" w:hAnsi="Arial Narrow"/>
          <w:b/>
          <w:sz w:val="20"/>
        </w:rPr>
        <w:t>2</w:t>
      </w:r>
      <w:proofErr w:type="gramEnd"/>
      <w:r w:rsidR="008E3D6C" w:rsidRPr="00F83CB4">
        <w:rPr>
          <w:rFonts w:ascii="Arial Narrow" w:hAnsi="Arial Narrow"/>
          <w:b/>
          <w:sz w:val="20"/>
        </w:rPr>
        <w:t xml:space="preserve"> single-spaced pages</w:t>
      </w:r>
      <w:r w:rsidR="008E3D6C" w:rsidRPr="00F83CB4">
        <w:rPr>
          <w:rFonts w:ascii="Arial Narrow" w:hAnsi="Arial Narrow"/>
          <w:sz w:val="20"/>
        </w:rPr>
        <w:t>)</w:t>
      </w:r>
      <w:r w:rsidR="00864F84" w:rsidRPr="00F83CB4">
        <w:rPr>
          <w:rFonts w:ascii="Arial Narrow" w:hAnsi="Arial Narrow"/>
          <w:sz w:val="20"/>
        </w:rPr>
        <w:t xml:space="preserve">. Do not delete or alter the </w:t>
      </w:r>
      <w:r w:rsidR="003865FA" w:rsidRPr="00F83CB4">
        <w:rPr>
          <w:rFonts w:ascii="Arial Narrow" w:hAnsi="Arial Narrow"/>
          <w:sz w:val="20"/>
        </w:rPr>
        <w:t>chart</w:t>
      </w:r>
      <w:r w:rsidR="00864F84" w:rsidRPr="00F83CB4">
        <w:rPr>
          <w:rFonts w:ascii="Arial Narrow" w:hAnsi="Arial Narrow"/>
          <w:sz w:val="20"/>
        </w:rPr>
        <w:t xml:space="preserve">; both the </w:t>
      </w:r>
      <w:r w:rsidR="00946169" w:rsidRPr="00F83CB4">
        <w:rPr>
          <w:rFonts w:ascii="Arial Narrow" w:hAnsi="Arial Narrow"/>
          <w:sz w:val="20"/>
        </w:rPr>
        <w:t>chart</w:t>
      </w:r>
      <w:r w:rsidR="00864F84" w:rsidRPr="00F83CB4">
        <w:rPr>
          <w:rFonts w:ascii="Arial Narrow" w:hAnsi="Arial Narrow"/>
          <w:sz w:val="20"/>
        </w:rPr>
        <w:t xml:space="preserve"> and your </w:t>
      </w:r>
      <w:r w:rsidR="00946169" w:rsidRPr="00F83CB4">
        <w:rPr>
          <w:rFonts w:ascii="Arial Narrow" w:hAnsi="Arial Narrow"/>
          <w:sz w:val="20"/>
        </w:rPr>
        <w:t>description</w:t>
      </w:r>
      <w:r w:rsidR="00864F84" w:rsidRPr="00F83CB4">
        <w:rPr>
          <w:rFonts w:ascii="Arial Narrow" w:hAnsi="Arial Narrow"/>
          <w:sz w:val="20"/>
        </w:rPr>
        <w:t xml:space="preserve"> are included in the total page count allowed. Refer to the evidence chart in the handbook to ensure that this document complies with all format specifications.</w:t>
      </w:r>
      <w:r w:rsidR="00877C0C" w:rsidRPr="00F83CB4">
        <w:rPr>
          <w:rFonts w:ascii="Arial Narrow" w:hAnsi="Arial Narrow"/>
          <w:sz w:val="20"/>
        </w:rPr>
        <w:t xml:space="preserve"> Pages exceeding the maximum </w:t>
      </w:r>
      <w:proofErr w:type="gramStart"/>
      <w:r w:rsidR="00877C0C" w:rsidRPr="00F83CB4">
        <w:rPr>
          <w:rFonts w:ascii="Arial Narrow" w:hAnsi="Arial Narrow"/>
          <w:sz w:val="20"/>
        </w:rPr>
        <w:t>will not be scored</w:t>
      </w:r>
      <w:proofErr w:type="gramEnd"/>
      <w:r w:rsidR="00877C0C" w:rsidRPr="00F83CB4">
        <w:rPr>
          <w:rFonts w:ascii="Arial Narrow" w:hAnsi="Arial Narrow"/>
          <w:sz w:val="20"/>
        </w:rPr>
        <w:t>.</w:t>
      </w:r>
    </w:p>
    <w:tbl>
      <w:tblPr>
        <w:tblW w:w="0" w:type="auto"/>
        <w:tblInd w:w="108" w:type="dxa"/>
        <w:tblBorders>
          <w:top w:val="single" w:sz="4" w:space="0" w:color="918873"/>
          <w:left w:val="single" w:sz="4" w:space="0" w:color="918873"/>
          <w:bottom w:val="single" w:sz="4" w:space="0" w:color="918873"/>
          <w:right w:val="single" w:sz="4" w:space="0" w:color="918873"/>
          <w:insideH w:val="single" w:sz="4" w:space="0" w:color="918873"/>
          <w:insideV w:val="single" w:sz="4" w:space="0" w:color="918873"/>
        </w:tblBorders>
        <w:tblLook w:val="01E0" w:firstRow="1" w:lastRow="1" w:firstColumn="1" w:lastColumn="1" w:noHBand="0" w:noVBand="0"/>
      </w:tblPr>
      <w:tblGrid>
        <w:gridCol w:w="1255"/>
        <w:gridCol w:w="2221"/>
        <w:gridCol w:w="3194"/>
        <w:gridCol w:w="2552"/>
      </w:tblGrid>
      <w:tr w:rsidR="006147B8" w:rsidTr="007A06A9">
        <w:tc>
          <w:tcPr>
            <w:tcW w:w="3539" w:type="dxa"/>
            <w:gridSpan w:val="2"/>
            <w:tcBorders>
              <w:top w:val="single" w:sz="12" w:space="0" w:color="918873"/>
              <w:left w:val="single" w:sz="12" w:space="0" w:color="918873"/>
              <w:bottom w:val="single" w:sz="12" w:space="0" w:color="918873"/>
              <w:right w:val="single" w:sz="12" w:space="0" w:color="918873"/>
            </w:tcBorders>
            <w:shd w:val="clear" w:color="auto" w:fill="auto"/>
          </w:tcPr>
          <w:p w:rsidR="006147B8" w:rsidRDefault="006147B8" w:rsidP="00DB4853">
            <w:pPr>
              <w:pStyle w:val="HeadingColA"/>
            </w:pPr>
            <w:r w:rsidRPr="00653D40">
              <w:t>Central Focus:</w:t>
            </w:r>
          </w:p>
          <w:p w:rsidR="003865FA" w:rsidRPr="003865FA" w:rsidRDefault="003865FA" w:rsidP="00DB4853">
            <w:pPr>
              <w:pStyle w:val="HeadingColA"/>
            </w:pPr>
            <w:r>
              <w:t>[  ]</w:t>
            </w:r>
          </w:p>
        </w:tc>
        <w:tc>
          <w:tcPr>
            <w:tcW w:w="5929" w:type="dxa"/>
            <w:gridSpan w:val="2"/>
            <w:tcBorders>
              <w:top w:val="single" w:sz="12" w:space="0" w:color="918873"/>
              <w:left w:val="single" w:sz="12" w:space="0" w:color="918873"/>
              <w:bottom w:val="single" w:sz="12" w:space="0" w:color="918873"/>
              <w:right w:val="single" w:sz="12" w:space="0" w:color="918873"/>
            </w:tcBorders>
            <w:shd w:val="clear" w:color="auto" w:fill="auto"/>
          </w:tcPr>
          <w:p w:rsidR="006147B8" w:rsidRPr="00653D40" w:rsidRDefault="006147B8" w:rsidP="00DB4853">
            <w:pPr>
              <w:pStyle w:val="HeadingColA"/>
            </w:pPr>
            <w:r w:rsidRPr="00653D40">
              <w:t>State-</w:t>
            </w:r>
            <w:r w:rsidR="00783BFB">
              <w:t>A</w:t>
            </w:r>
            <w:r w:rsidRPr="00653D40">
              <w:t>dopted C</w:t>
            </w:r>
            <w:r w:rsidR="00783BFB">
              <w:t>ontent Standards</w:t>
            </w:r>
          </w:p>
          <w:p w:rsidR="006147B8" w:rsidRPr="00653D40" w:rsidRDefault="003865FA" w:rsidP="00DB4853">
            <w:pPr>
              <w:pStyle w:val="HeadingColA"/>
            </w:pPr>
            <w:r>
              <w:t>[  ]</w:t>
            </w:r>
          </w:p>
        </w:tc>
      </w:tr>
      <w:tr w:rsidR="006147B8" w:rsidTr="007A06A9">
        <w:tc>
          <w:tcPr>
            <w:tcW w:w="1255" w:type="dxa"/>
            <w:tcBorders>
              <w:top w:val="single" w:sz="12" w:space="0" w:color="918873"/>
              <w:bottom w:val="single" w:sz="12" w:space="0" w:color="918873"/>
            </w:tcBorders>
            <w:shd w:val="clear" w:color="auto" w:fill="C2B7A1"/>
          </w:tcPr>
          <w:p w:rsidR="006147B8" w:rsidRPr="00653D40" w:rsidRDefault="006147B8" w:rsidP="00DB4853">
            <w:pPr>
              <w:pStyle w:val="HeadingColA"/>
              <w:spacing w:before="0"/>
            </w:pPr>
          </w:p>
        </w:tc>
        <w:tc>
          <w:tcPr>
            <w:tcW w:w="2284" w:type="dxa"/>
            <w:tcBorders>
              <w:top w:val="single" w:sz="12" w:space="0" w:color="918873"/>
              <w:bottom w:val="single" w:sz="12" w:space="0" w:color="918873"/>
            </w:tcBorders>
            <w:shd w:val="clear" w:color="auto" w:fill="C2B7A1"/>
          </w:tcPr>
          <w:p w:rsidR="006147B8" w:rsidRPr="00653D40" w:rsidRDefault="006147B8" w:rsidP="00DB4853">
            <w:pPr>
              <w:pStyle w:val="HeadingColA"/>
              <w:spacing w:before="0"/>
            </w:pPr>
            <w:r w:rsidRPr="00653D40">
              <w:t>Learning Objectives</w:t>
            </w:r>
          </w:p>
        </w:tc>
        <w:tc>
          <w:tcPr>
            <w:tcW w:w="3312" w:type="dxa"/>
            <w:tcBorders>
              <w:top w:val="single" w:sz="12" w:space="0" w:color="918873"/>
              <w:bottom w:val="single" w:sz="12" w:space="0" w:color="918873"/>
            </w:tcBorders>
            <w:shd w:val="clear" w:color="auto" w:fill="C2B7A1"/>
          </w:tcPr>
          <w:p w:rsidR="006147B8" w:rsidRPr="00653D40" w:rsidRDefault="006147B8" w:rsidP="00DB4853">
            <w:pPr>
              <w:pStyle w:val="HeadingColA"/>
              <w:spacing w:before="0"/>
            </w:pPr>
            <w:r w:rsidRPr="00653D40">
              <w:t xml:space="preserve">Instructional </w:t>
            </w:r>
            <w:r w:rsidR="00783BFB">
              <w:t>S</w:t>
            </w:r>
            <w:r w:rsidRPr="00653D40">
              <w:t xml:space="preserve">trategies and </w:t>
            </w:r>
            <w:r w:rsidR="00783BFB">
              <w:t>L</w:t>
            </w:r>
            <w:r w:rsidRPr="00653D40">
              <w:t xml:space="preserve">earning </w:t>
            </w:r>
            <w:r w:rsidR="00783BFB">
              <w:t>T</w:t>
            </w:r>
            <w:r w:rsidRPr="00653D40">
              <w:t>asks</w:t>
            </w:r>
          </w:p>
        </w:tc>
        <w:tc>
          <w:tcPr>
            <w:tcW w:w="2617" w:type="dxa"/>
            <w:tcBorders>
              <w:top w:val="single" w:sz="12" w:space="0" w:color="918873"/>
              <w:bottom w:val="single" w:sz="12" w:space="0" w:color="918873"/>
            </w:tcBorders>
            <w:shd w:val="clear" w:color="auto" w:fill="C2B7A1"/>
          </w:tcPr>
          <w:p w:rsidR="006147B8" w:rsidRPr="00653D40" w:rsidRDefault="006147B8" w:rsidP="00DB4853">
            <w:pPr>
              <w:pStyle w:val="HeadingColA"/>
              <w:spacing w:before="0"/>
            </w:pPr>
            <w:r>
              <w:t xml:space="preserve">Formative and Summative </w:t>
            </w:r>
            <w:r w:rsidRPr="00653D40">
              <w:t>Assessments</w:t>
            </w:r>
          </w:p>
        </w:tc>
      </w:tr>
      <w:tr w:rsidR="006147B8" w:rsidTr="007A06A9">
        <w:trPr>
          <w:trHeight w:val="1656"/>
        </w:trPr>
        <w:tc>
          <w:tcPr>
            <w:tcW w:w="1255" w:type="dxa"/>
            <w:tcBorders>
              <w:top w:val="single" w:sz="12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6147B8" w:rsidP="00DB4853">
            <w:pPr>
              <w:pStyle w:val="HeadingRowA"/>
            </w:pPr>
            <w:r w:rsidRPr="00653D40">
              <w:t>Lesson 1</w:t>
            </w:r>
          </w:p>
        </w:tc>
        <w:tc>
          <w:tcPr>
            <w:tcW w:w="2284" w:type="dxa"/>
            <w:tcBorders>
              <w:top w:val="single" w:sz="12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3312" w:type="dxa"/>
            <w:tcBorders>
              <w:top w:val="single" w:sz="12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2617" w:type="dxa"/>
            <w:tcBorders>
              <w:top w:val="single" w:sz="12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</w:tr>
      <w:tr w:rsidR="006147B8" w:rsidTr="007A06A9">
        <w:trPr>
          <w:trHeight w:val="1656"/>
        </w:trPr>
        <w:tc>
          <w:tcPr>
            <w:tcW w:w="1255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6147B8" w:rsidP="00DB4853">
            <w:pPr>
              <w:pStyle w:val="HeadingRowA"/>
            </w:pPr>
            <w:r w:rsidRPr="00653D40">
              <w:t>Lesson 2</w:t>
            </w:r>
          </w:p>
        </w:tc>
        <w:tc>
          <w:tcPr>
            <w:tcW w:w="2284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3312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2617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</w:tr>
      <w:tr w:rsidR="006147B8" w:rsidTr="007A06A9">
        <w:trPr>
          <w:trHeight w:val="1656"/>
        </w:trPr>
        <w:tc>
          <w:tcPr>
            <w:tcW w:w="1255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6147B8" w:rsidP="00DB4853">
            <w:pPr>
              <w:pStyle w:val="HeadingRowA"/>
            </w:pPr>
            <w:r w:rsidRPr="00653D40">
              <w:t>Lesson 3</w:t>
            </w:r>
          </w:p>
        </w:tc>
        <w:tc>
          <w:tcPr>
            <w:tcW w:w="2284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3312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2617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</w:tr>
      <w:tr w:rsidR="006147B8" w:rsidTr="007A06A9">
        <w:trPr>
          <w:trHeight w:val="1656"/>
        </w:trPr>
        <w:tc>
          <w:tcPr>
            <w:tcW w:w="1255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6147B8" w:rsidP="00DB4853">
            <w:pPr>
              <w:pStyle w:val="HeadingRowA"/>
            </w:pPr>
            <w:r w:rsidRPr="00653D40">
              <w:t>Lesson 4</w:t>
            </w:r>
            <w:r w:rsidRPr="00653D40">
              <w:br/>
              <w:t>(Optional)</w:t>
            </w:r>
          </w:p>
        </w:tc>
        <w:tc>
          <w:tcPr>
            <w:tcW w:w="2284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3312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2617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</w:tr>
      <w:tr w:rsidR="006147B8" w:rsidTr="00F83CB4">
        <w:trPr>
          <w:trHeight w:val="1656"/>
        </w:trPr>
        <w:tc>
          <w:tcPr>
            <w:tcW w:w="1255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6147B8" w:rsidP="00DB4853">
            <w:pPr>
              <w:pStyle w:val="HeadingRowA"/>
            </w:pPr>
            <w:r w:rsidRPr="00653D40">
              <w:t>Lesson 5</w:t>
            </w:r>
            <w:r w:rsidRPr="00653D40">
              <w:br/>
              <w:t>(Optional)</w:t>
            </w:r>
          </w:p>
        </w:tc>
        <w:tc>
          <w:tcPr>
            <w:tcW w:w="2284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3312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2617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6147B8" w:rsidRPr="00653D40" w:rsidRDefault="003865FA" w:rsidP="00F83CB4">
            <w:pPr>
              <w:pStyle w:val="Brackets"/>
              <w:rPr>
                <w:b/>
              </w:rPr>
            </w:pPr>
            <w:r>
              <w:t>[  ]</w:t>
            </w:r>
          </w:p>
        </w:tc>
      </w:tr>
    </w:tbl>
    <w:p w:rsidR="00330768" w:rsidRDefault="00330768" w:rsidP="006147B8">
      <w:pPr>
        <w:pStyle w:val="TPAClistnumbered1"/>
        <w:ind w:left="0" w:firstLine="0"/>
      </w:pPr>
    </w:p>
    <w:sectPr w:rsidR="00330768" w:rsidSect="00FE7C20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F8" w:rsidRDefault="007666F8">
      <w:r>
        <w:separator/>
      </w:r>
    </w:p>
    <w:p w:rsidR="007666F8" w:rsidRDefault="007666F8"/>
    <w:p w:rsidR="007666F8" w:rsidRDefault="007666F8"/>
  </w:endnote>
  <w:endnote w:type="continuationSeparator" w:id="0">
    <w:p w:rsidR="007666F8" w:rsidRDefault="007666F8">
      <w:r>
        <w:continuationSeparator/>
      </w:r>
    </w:p>
    <w:p w:rsidR="007666F8" w:rsidRDefault="007666F8"/>
    <w:p w:rsidR="007666F8" w:rsidRDefault="00766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62" w:rsidRPr="00691A8F" w:rsidRDefault="00AC4362" w:rsidP="00864F84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D74547" w:rsidRPr="000B54FD">
      <w:rPr>
        <w:rFonts w:ascii="Arial Narrow" w:hAnsi="Arial Narrow"/>
        <w:color w:val="808080"/>
        <w:sz w:val="18"/>
        <w:szCs w:val="18"/>
      </w:rPr>
      <w:t>201</w:t>
    </w:r>
    <w:r w:rsidR="00D74547">
      <w:rPr>
        <w:rFonts w:ascii="Arial Narrow" w:hAnsi="Arial Narrow"/>
        <w:color w:val="808080"/>
        <w:sz w:val="18"/>
        <w:szCs w:val="18"/>
      </w:rPr>
      <w:t>8</w:t>
    </w:r>
    <w:r w:rsidR="00D74547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F0791F">
      <w:rPr>
        <w:rStyle w:val="PageNumber"/>
        <w:rFonts w:ascii="Arial Narrow" w:hAnsi="Arial Narrow"/>
        <w:b/>
        <w:noProof/>
        <w:color w:val="991D20"/>
        <w:sz w:val="18"/>
        <w:szCs w:val="18"/>
      </w:rPr>
      <w:t>1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="00FA79F3"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="00FA79F3"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="00FA79F3"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F0791F">
      <w:rPr>
        <w:rStyle w:val="PageNumber"/>
        <w:rFonts w:ascii="Arial Narrow" w:hAnsi="Arial Narrow"/>
        <w:b/>
        <w:noProof/>
        <w:color w:val="991D20"/>
        <w:sz w:val="18"/>
        <w:szCs w:val="18"/>
      </w:rPr>
      <w:t>1</w:t>
    </w:r>
    <w:r w:rsidR="00FA79F3"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3865FA">
      <w:rPr>
        <w:rStyle w:val="TPApgcountChar"/>
      </w:rPr>
      <w:t>2</w:t>
    </w:r>
    <w:r w:rsidRPr="00AC4362">
      <w:rPr>
        <w:rStyle w:val="TPApgcountChar"/>
      </w:rPr>
      <w:t xml:space="preserve"> pages maximum</w:t>
    </w:r>
  </w:p>
  <w:p w:rsidR="00AC4362" w:rsidRDefault="00AC4362" w:rsidP="00864F84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>
      <w:rPr>
        <w:rFonts w:ascii="Arial Narrow" w:hAnsi="Arial Narrow"/>
        <w:color w:val="808080"/>
        <w:sz w:val="18"/>
        <w:szCs w:val="18"/>
      </w:rPr>
      <w:t>.</w:t>
    </w:r>
    <w:r w:rsidR="00195F94">
      <w:rPr>
        <w:rFonts w:ascii="Arial Narrow" w:hAnsi="Arial Narrow"/>
        <w:color w:val="808080"/>
        <w:sz w:val="18"/>
        <w:szCs w:val="18"/>
      </w:rPr>
      <w:tab/>
    </w:r>
    <w:r w:rsidR="00F83CB4">
      <w:rPr>
        <w:rFonts w:ascii="Arial Narrow" w:hAnsi="Arial Narrow"/>
        <w:color w:val="808080"/>
        <w:sz w:val="18"/>
        <w:szCs w:val="18"/>
      </w:rPr>
      <w:t>V</w:t>
    </w:r>
    <w:r w:rsidR="00D74547">
      <w:rPr>
        <w:rFonts w:ascii="Arial Narrow" w:hAnsi="Arial Narrow"/>
        <w:color w:val="808080"/>
        <w:sz w:val="18"/>
        <w:szCs w:val="18"/>
      </w:rPr>
      <w:t>07</w:t>
    </w:r>
    <w:r w:rsidR="006D473C">
      <w:rPr>
        <w:rFonts w:ascii="Arial Narrow" w:hAnsi="Arial Narrow"/>
        <w:color w:val="808080"/>
        <w:sz w:val="18"/>
        <w:szCs w:val="18"/>
      </w:rPr>
      <w:t>.1</w:t>
    </w:r>
  </w:p>
  <w:p w:rsidR="00BF505F" w:rsidRPr="000C355C" w:rsidRDefault="00BF505F" w:rsidP="00BF505F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Typ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 xml:space="preserve">Use of 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PlaceTyp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F8" w:rsidRDefault="007666F8" w:rsidP="0012137E">
      <w:pPr>
        <w:spacing w:before="0" w:line="240" w:lineRule="auto"/>
      </w:pPr>
      <w:r>
        <w:separator/>
      </w:r>
    </w:p>
  </w:footnote>
  <w:footnote w:type="continuationSeparator" w:id="0">
    <w:p w:rsidR="007666F8" w:rsidRDefault="007666F8">
      <w:r>
        <w:continuationSeparator/>
      </w:r>
    </w:p>
    <w:p w:rsidR="007666F8" w:rsidRDefault="007666F8"/>
    <w:p w:rsidR="007666F8" w:rsidRDefault="007666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F84" w:rsidRPr="00F83CB4" w:rsidRDefault="00860307" w:rsidP="00864F84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 wp14:anchorId="6622557E" wp14:editId="4E36BAA8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4F84" w:rsidRPr="00877C0C">
      <w:rPr>
        <w:sz w:val="22"/>
        <w:szCs w:val="22"/>
      </w:rPr>
      <w:tab/>
    </w:r>
    <w:r w:rsidR="00877C0C" w:rsidRPr="00863B0C">
      <w:rPr>
        <w:sz w:val="20"/>
        <w:szCs w:val="20"/>
      </w:rPr>
      <w:fldChar w:fldCharType="begin"/>
    </w:r>
    <w:r w:rsidR="00877C0C" w:rsidRPr="00863B0C">
      <w:rPr>
        <w:sz w:val="20"/>
        <w:szCs w:val="20"/>
      </w:rPr>
      <w:instrText xml:space="preserve"> SUBJECT   \* MERGEFORMAT </w:instrText>
    </w:r>
    <w:r w:rsidR="00877C0C" w:rsidRPr="00863B0C">
      <w:rPr>
        <w:sz w:val="20"/>
        <w:szCs w:val="20"/>
      </w:rPr>
      <w:fldChar w:fldCharType="separate"/>
    </w:r>
    <w:r w:rsidR="00F0791F">
      <w:rPr>
        <w:sz w:val="20"/>
        <w:szCs w:val="20"/>
      </w:rPr>
      <w:t>Elementary Education: Literacy with Mathematics Task 4</w:t>
    </w:r>
    <w:r w:rsidR="00877C0C" w:rsidRPr="00863B0C">
      <w:rPr>
        <w:sz w:val="20"/>
        <w:szCs w:val="20"/>
      </w:rPr>
      <w:fldChar w:fldCharType="end"/>
    </w:r>
  </w:p>
  <w:p w:rsidR="00877C0C" w:rsidRPr="00DB4853" w:rsidRDefault="002D2BAC" w:rsidP="00DB4853">
    <w:pPr>
      <w:pStyle w:val="Heading1"/>
    </w:pPr>
    <w:r w:rsidRPr="00DB4853">
      <w:t xml:space="preserve">Task 4: </w:t>
    </w:r>
    <w:r w:rsidR="003865FA" w:rsidRPr="00DB4853">
      <w:t>Mathematics Learning Segment Overview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7453"/>
    <w:multiLevelType w:val="hybridMultilevel"/>
    <w:tmpl w:val="57D03366"/>
    <w:lvl w:ilvl="0" w:tplc="4476DE68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76A05DA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673B7D"/>
    <w:multiLevelType w:val="hybridMultilevel"/>
    <w:tmpl w:val="9452BB14"/>
    <w:lvl w:ilvl="0" w:tplc="D6643488">
      <w:start w:val="1"/>
      <w:numFmt w:val="bullet"/>
      <w:pStyle w:val="TPAClistbullet1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BF6900"/>
        <w:sz w:val="24"/>
      </w:rPr>
    </w:lvl>
    <w:lvl w:ilvl="1" w:tplc="4476DE68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DC"/>
    <w:rsid w:val="0000036F"/>
    <w:rsid w:val="0000748C"/>
    <w:rsid w:val="00013FD4"/>
    <w:rsid w:val="000321B4"/>
    <w:rsid w:val="00042CA5"/>
    <w:rsid w:val="00047286"/>
    <w:rsid w:val="000664AE"/>
    <w:rsid w:val="00074DCE"/>
    <w:rsid w:val="00076B02"/>
    <w:rsid w:val="00077381"/>
    <w:rsid w:val="000B0948"/>
    <w:rsid w:val="000B57BD"/>
    <w:rsid w:val="000C1605"/>
    <w:rsid w:val="00113150"/>
    <w:rsid w:val="00113BC1"/>
    <w:rsid w:val="0012137E"/>
    <w:rsid w:val="00133BBA"/>
    <w:rsid w:val="00140DF9"/>
    <w:rsid w:val="00143B7E"/>
    <w:rsid w:val="001551D9"/>
    <w:rsid w:val="001736FC"/>
    <w:rsid w:val="0017709D"/>
    <w:rsid w:val="00195331"/>
    <w:rsid w:val="00195F94"/>
    <w:rsid w:val="001A20F2"/>
    <w:rsid w:val="001B4750"/>
    <w:rsid w:val="001B6163"/>
    <w:rsid w:val="001C66AA"/>
    <w:rsid w:val="001E0428"/>
    <w:rsid w:val="001F66CC"/>
    <w:rsid w:val="002140BD"/>
    <w:rsid w:val="00222B87"/>
    <w:rsid w:val="00252147"/>
    <w:rsid w:val="002556B8"/>
    <w:rsid w:val="00276A7C"/>
    <w:rsid w:val="002D1CB7"/>
    <w:rsid w:val="002D2BAC"/>
    <w:rsid w:val="002E488D"/>
    <w:rsid w:val="002F6E85"/>
    <w:rsid w:val="0030326D"/>
    <w:rsid w:val="0030539B"/>
    <w:rsid w:val="00307F5E"/>
    <w:rsid w:val="00325D04"/>
    <w:rsid w:val="00330768"/>
    <w:rsid w:val="00353EB3"/>
    <w:rsid w:val="00356C92"/>
    <w:rsid w:val="00360CF4"/>
    <w:rsid w:val="00370A8C"/>
    <w:rsid w:val="003865FA"/>
    <w:rsid w:val="00394AE6"/>
    <w:rsid w:val="003A1747"/>
    <w:rsid w:val="003C3ADB"/>
    <w:rsid w:val="003C3F91"/>
    <w:rsid w:val="003E4234"/>
    <w:rsid w:val="003F000E"/>
    <w:rsid w:val="00414EDD"/>
    <w:rsid w:val="00455C8B"/>
    <w:rsid w:val="0045646F"/>
    <w:rsid w:val="00491348"/>
    <w:rsid w:val="004938CC"/>
    <w:rsid w:val="0049443D"/>
    <w:rsid w:val="004B5086"/>
    <w:rsid w:val="004C4C45"/>
    <w:rsid w:val="004D2266"/>
    <w:rsid w:val="004E7EB8"/>
    <w:rsid w:val="0057313F"/>
    <w:rsid w:val="00593FC4"/>
    <w:rsid w:val="005B1384"/>
    <w:rsid w:val="005B58A5"/>
    <w:rsid w:val="005B6111"/>
    <w:rsid w:val="005F168E"/>
    <w:rsid w:val="005F72F7"/>
    <w:rsid w:val="00607BD2"/>
    <w:rsid w:val="006147B8"/>
    <w:rsid w:val="00614A98"/>
    <w:rsid w:val="00621625"/>
    <w:rsid w:val="00624949"/>
    <w:rsid w:val="006251F0"/>
    <w:rsid w:val="00694B21"/>
    <w:rsid w:val="006D265D"/>
    <w:rsid w:val="006D473C"/>
    <w:rsid w:val="00702D88"/>
    <w:rsid w:val="00724876"/>
    <w:rsid w:val="007265BD"/>
    <w:rsid w:val="00732A37"/>
    <w:rsid w:val="00741562"/>
    <w:rsid w:val="00754744"/>
    <w:rsid w:val="007666F8"/>
    <w:rsid w:val="00774884"/>
    <w:rsid w:val="00783BFB"/>
    <w:rsid w:val="00786261"/>
    <w:rsid w:val="007924A4"/>
    <w:rsid w:val="007A06A9"/>
    <w:rsid w:val="007A72BC"/>
    <w:rsid w:val="007C0A8B"/>
    <w:rsid w:val="00815168"/>
    <w:rsid w:val="00816FD1"/>
    <w:rsid w:val="008464F3"/>
    <w:rsid w:val="00860307"/>
    <w:rsid w:val="00863B0C"/>
    <w:rsid w:val="00864F84"/>
    <w:rsid w:val="0087016C"/>
    <w:rsid w:val="00873B8C"/>
    <w:rsid w:val="00877C0C"/>
    <w:rsid w:val="00880B73"/>
    <w:rsid w:val="008813BB"/>
    <w:rsid w:val="008875CF"/>
    <w:rsid w:val="008A44B3"/>
    <w:rsid w:val="008C258B"/>
    <w:rsid w:val="008C7246"/>
    <w:rsid w:val="008E3D6C"/>
    <w:rsid w:val="008F0A3F"/>
    <w:rsid w:val="00900C72"/>
    <w:rsid w:val="009203BB"/>
    <w:rsid w:val="0093257B"/>
    <w:rsid w:val="00946169"/>
    <w:rsid w:val="00954275"/>
    <w:rsid w:val="00966C3C"/>
    <w:rsid w:val="00983E46"/>
    <w:rsid w:val="009B3444"/>
    <w:rsid w:val="009D2692"/>
    <w:rsid w:val="009D3627"/>
    <w:rsid w:val="009E455F"/>
    <w:rsid w:val="00A008F8"/>
    <w:rsid w:val="00A5662C"/>
    <w:rsid w:val="00A63ACD"/>
    <w:rsid w:val="00AA0292"/>
    <w:rsid w:val="00AA2F70"/>
    <w:rsid w:val="00AB13A5"/>
    <w:rsid w:val="00AB2364"/>
    <w:rsid w:val="00AC4362"/>
    <w:rsid w:val="00B05B05"/>
    <w:rsid w:val="00B11567"/>
    <w:rsid w:val="00B23207"/>
    <w:rsid w:val="00B241D8"/>
    <w:rsid w:val="00B276F2"/>
    <w:rsid w:val="00B3117A"/>
    <w:rsid w:val="00B31ED1"/>
    <w:rsid w:val="00B375C1"/>
    <w:rsid w:val="00B51A11"/>
    <w:rsid w:val="00B77F28"/>
    <w:rsid w:val="00BC3F5B"/>
    <w:rsid w:val="00BF505F"/>
    <w:rsid w:val="00BF66A0"/>
    <w:rsid w:val="00CC3911"/>
    <w:rsid w:val="00CE62DC"/>
    <w:rsid w:val="00D02F57"/>
    <w:rsid w:val="00D376F4"/>
    <w:rsid w:val="00D403F6"/>
    <w:rsid w:val="00D5169E"/>
    <w:rsid w:val="00D61D41"/>
    <w:rsid w:val="00D74547"/>
    <w:rsid w:val="00D750D9"/>
    <w:rsid w:val="00D94A2C"/>
    <w:rsid w:val="00DB4284"/>
    <w:rsid w:val="00DB4853"/>
    <w:rsid w:val="00DC415C"/>
    <w:rsid w:val="00DE6CA6"/>
    <w:rsid w:val="00E0751C"/>
    <w:rsid w:val="00E32F23"/>
    <w:rsid w:val="00E35A8A"/>
    <w:rsid w:val="00E415E5"/>
    <w:rsid w:val="00E43123"/>
    <w:rsid w:val="00E472E3"/>
    <w:rsid w:val="00E52EF9"/>
    <w:rsid w:val="00E7154F"/>
    <w:rsid w:val="00E7349C"/>
    <w:rsid w:val="00E75667"/>
    <w:rsid w:val="00E84C34"/>
    <w:rsid w:val="00E925D5"/>
    <w:rsid w:val="00EB7F4A"/>
    <w:rsid w:val="00EC3A3B"/>
    <w:rsid w:val="00EC4500"/>
    <w:rsid w:val="00ED00F5"/>
    <w:rsid w:val="00EE3B15"/>
    <w:rsid w:val="00EE637A"/>
    <w:rsid w:val="00EF2958"/>
    <w:rsid w:val="00EF4445"/>
    <w:rsid w:val="00EF7A31"/>
    <w:rsid w:val="00F04122"/>
    <w:rsid w:val="00F0791F"/>
    <w:rsid w:val="00F53B63"/>
    <w:rsid w:val="00F83CB4"/>
    <w:rsid w:val="00FA026B"/>
    <w:rsid w:val="00FA4CE2"/>
    <w:rsid w:val="00FA666F"/>
    <w:rsid w:val="00FA79F3"/>
    <w:rsid w:val="00FE703C"/>
    <w:rsid w:val="00FE7C20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82C4D7B0-12E6-49C9-BC52-8955DADF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Header"/>
    <w:next w:val="Normal"/>
    <w:link w:val="Heading1Char1"/>
    <w:qFormat/>
    <w:rsid w:val="00DB4853"/>
    <w:pPr>
      <w:tabs>
        <w:tab w:val="right" w:pos="9360"/>
      </w:tabs>
      <w:outlineLvl w:val="0"/>
    </w:pPr>
    <w:rPr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B13A5"/>
    <w:pPr>
      <w:keepNext/>
      <w:pBdr>
        <w:bottom w:val="single" w:sz="12" w:space="1" w:color="BF6900"/>
      </w:pBdr>
      <w:spacing w:before="400" w:after="240" w:line="240" w:lineRule="auto"/>
      <w:ind w:left="0"/>
      <w:outlineLvl w:val="1"/>
    </w:pPr>
    <w:rPr>
      <w:rFonts w:ascii="Arial Bold" w:hAnsi="Arial Bold" w:cs="Arial"/>
      <w:b/>
      <w:bCs/>
      <w:iCs/>
      <w:color w:val="991D20"/>
      <w:sz w:val="36"/>
      <w:szCs w:val="24"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DB4853"/>
    <w:rPr>
      <w:rFonts w:ascii="Arial" w:hAnsi="Arial"/>
      <w:i/>
      <w:color w:val="808080"/>
      <w:lang w:val="en-US" w:eastAsia="en-US"/>
    </w:rPr>
  </w:style>
  <w:style w:type="character" w:customStyle="1" w:styleId="Heading2Char">
    <w:name w:val="Heading 2 Char"/>
    <w:link w:val="Heading2"/>
    <w:locked/>
    <w:rsid w:val="00AB13A5"/>
    <w:rPr>
      <w:rFonts w:ascii="Arial Bold" w:hAnsi="Arial Bold" w:cs="Arial"/>
      <w:b/>
      <w:bCs/>
      <w:iCs/>
      <w:color w:val="991D20"/>
      <w:sz w:val="36"/>
      <w:szCs w:val="24"/>
      <w:lang w:val="en-US" w:eastAsia="en-US" w:bidi="ar-SA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08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basedOn w:val="Heading3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rsid w:val="00E7154F"/>
    <w:pPr>
      <w:tabs>
        <w:tab w:val="clear" w:pos="1080"/>
        <w:tab w:val="left" w:pos="1440"/>
      </w:tabs>
      <w:ind w:left="144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locked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customStyle="1" w:styleId="StyleTPACtextbodyBoldBoldBoldLeft0">
    <w:name w:val="Style TPAC_text_bodyBold + BoldBold + Left:  0&quot;"/>
    <w:basedOn w:val="TPACtextbody"/>
    <w:rsid w:val="003C3F91"/>
    <w:pPr>
      <w:spacing w:before="120" w:after="240"/>
      <w:ind w:left="0"/>
    </w:pPr>
  </w:style>
  <w:style w:type="paragraph" w:customStyle="1" w:styleId="Brackets">
    <w:name w:val="Brackets"/>
    <w:rsid w:val="00E52EF9"/>
    <w:rPr>
      <w:rFonts w:ascii="Arial" w:hAnsi="Arial"/>
      <w:sz w:val="22"/>
    </w:rPr>
  </w:style>
  <w:style w:type="paragraph" w:customStyle="1" w:styleId="HeadingColA">
    <w:name w:val="Heading ColA"/>
    <w:basedOn w:val="Normal"/>
    <w:qFormat/>
    <w:rsid w:val="00DB4853"/>
    <w:pPr>
      <w:ind w:left="0"/>
    </w:pPr>
    <w:rPr>
      <w:b/>
      <w:szCs w:val="22"/>
    </w:rPr>
  </w:style>
  <w:style w:type="paragraph" w:customStyle="1" w:styleId="HeadingRowA">
    <w:name w:val="Heading RowA"/>
    <w:basedOn w:val="Normal"/>
    <w:qFormat/>
    <w:rsid w:val="00DB4853"/>
    <w:pPr>
      <w:ind w:left="0"/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Heading ColA">
      <c:property id="RoleID" type="string">ParagraphHeaderCell</c:property>
      <c:property id="Scope" type="integer">1</c:property>
    </c:group>
    <c:group id="Heading RowA">
      <c:property id="RoleID" type="string">ParagraphHeaderCell</c:property>
      <c:property id="Scope" type="integer">2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15A50CC4-D4CD-42B5-8D3A-E95F30C8C483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Segment Overview Template</vt:lpstr>
    </vt:vector>
  </TitlesOfParts>
  <Company>Evaluation Systems, Pearson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Segment Overview Template</dc:title>
  <dc:subject>Elementary Education: Literacy with Mathematics Task 4</dc:subject>
  <dc:creator>Bunny Hathaway</dc:creator>
  <cp:keywords/>
  <cp:lastModifiedBy>Farnham, Sally</cp:lastModifiedBy>
  <cp:revision>8</cp:revision>
  <cp:lastPrinted>2012-09-27T14:21:00Z</cp:lastPrinted>
  <dcterms:created xsi:type="dcterms:W3CDTF">2018-04-16T19:03:00Z</dcterms:created>
  <dcterms:modified xsi:type="dcterms:W3CDTF">2018-11-06T18:50:00Z</dcterms:modified>
</cp:coreProperties>
</file>